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D0CD" w14:textId="77777777" w:rsidR="001C0938" w:rsidRDefault="001C0938">
      <w:pPr>
        <w:rPr>
          <w:rFonts w:hint="eastAsia"/>
        </w:rPr>
      </w:pPr>
      <w:r>
        <w:rPr>
          <w:rFonts w:hint="eastAsia"/>
        </w:rPr>
        <w:t xml:space="preserve">曾侯乙编钟的拼音  </w:t>
      </w:r>
    </w:p>
    <w:p w14:paraId="429DB6C2" w14:textId="77777777" w:rsidR="001C0938" w:rsidRDefault="001C0938">
      <w:pPr>
        <w:rPr>
          <w:rFonts w:hint="eastAsia"/>
        </w:rPr>
      </w:pPr>
      <w:r>
        <w:rPr>
          <w:rFonts w:hint="eastAsia"/>
        </w:rPr>
        <w:t>曾侯乙编钟的拼音为 **zēng hóu yǐ biān zhōng**。其中，“曾侯乙”是编钟主人与铸造者的身份标识，“编钟”则是乐器名称。这一拼音组合不仅代表了一件文物，更承载着中国古代礼乐文明与青铜铸造技术的巅峰成就。</w:t>
      </w:r>
    </w:p>
    <w:p w14:paraId="39E0F359" w14:textId="77777777" w:rsidR="001C0938" w:rsidRDefault="001C093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801CD10" w14:textId="77777777" w:rsidR="001C0938" w:rsidRDefault="001C0938">
      <w:pPr>
        <w:rPr>
          <w:rFonts w:hint="eastAsia"/>
        </w:rPr>
      </w:pPr>
    </w:p>
    <w:p w14:paraId="63A19247" w14:textId="77777777" w:rsidR="001C0938" w:rsidRDefault="001C0938">
      <w:pPr>
        <w:rPr>
          <w:rFonts w:hint="eastAsia"/>
        </w:rPr>
      </w:pPr>
      <w:r>
        <w:rPr>
          <w:rFonts w:hint="eastAsia"/>
        </w:rPr>
        <w:t xml:space="preserve">编钟的历史背景与出土经过  </w:t>
      </w:r>
    </w:p>
    <w:p w14:paraId="198DA181" w14:textId="77777777" w:rsidR="001C0938" w:rsidRDefault="001C0938">
      <w:pPr>
        <w:rPr>
          <w:rFonts w:hint="eastAsia"/>
        </w:rPr>
      </w:pPr>
      <w:r>
        <w:rPr>
          <w:rFonts w:hint="eastAsia"/>
        </w:rPr>
        <w:t>曾侯乙编钟于1978年出土于湖北随州擂鼓墩曾侯乙墓，年代为战国早期。编钟主人“曾侯乙”是曾国国君，“曾”为国名，“侯”为爵位，“乙”为私名。曾国为周朝分封的姬姓诸侯国，地处“随枣走廊”，与楚国关系密切。编钟出土时，钟架与编钟完整悬挂于墓室西侧与南侧，钟体保存完好，铭文清晰，成为20世纪中国最重要的考古发现之一。</w:t>
      </w:r>
    </w:p>
    <w:p w14:paraId="79FC7E3C" w14:textId="77777777" w:rsidR="001C0938" w:rsidRDefault="001C0938">
      <w:pPr>
        <w:rPr>
          <w:rFonts w:hint="eastAsia"/>
        </w:rPr>
      </w:pPr>
      <w:r>
        <w:rPr>
          <w:rFonts w:hint="eastAsia"/>
        </w:rPr>
        <w:t xml:space="preserve">  </w:t>
      </w:r>
    </w:p>
    <w:p w14:paraId="668D568F" w14:textId="77777777" w:rsidR="001C0938" w:rsidRDefault="001C0938">
      <w:pPr>
        <w:rPr>
          <w:rFonts w:hint="eastAsia"/>
        </w:rPr>
      </w:pPr>
      <w:r>
        <w:rPr>
          <w:rFonts w:hint="eastAsia"/>
        </w:rPr>
        <w:t>考古发掘显示，编钟钟架长7.48米、高2.65米，分三层八组悬挂，共65件编钟与1件楚惠王赠送的镈钟。钟架立柱为青铜武士造型，钟体装饰错金铭文与蟠螭纹，体现了战国时期高超的铸造与装饰工艺。</w:t>
      </w:r>
    </w:p>
    <w:p w14:paraId="1565BF22" w14:textId="77777777" w:rsidR="001C0938" w:rsidRDefault="001C0938">
      <w:pPr>
        <w:rPr>
          <w:rFonts w:hint="eastAsia"/>
        </w:rPr>
      </w:pPr>
      <w:r>
        <w:rPr>
          <w:rFonts w:hint="eastAsia"/>
        </w:rPr>
        <w:t xml:space="preserve">  </w:t>
      </w:r>
    </w:p>
    <w:p w14:paraId="03FB468A" w14:textId="77777777" w:rsidR="001C0938" w:rsidRDefault="001C0938">
      <w:pPr>
        <w:rPr>
          <w:rFonts w:hint="eastAsia"/>
        </w:rPr>
      </w:pPr>
    </w:p>
    <w:p w14:paraId="495D116D" w14:textId="77777777" w:rsidR="001C0938" w:rsidRDefault="001C0938">
      <w:pPr>
        <w:rPr>
          <w:rFonts w:hint="eastAsia"/>
        </w:rPr>
      </w:pPr>
      <w:r>
        <w:rPr>
          <w:rFonts w:hint="eastAsia"/>
        </w:rPr>
        <w:t xml:space="preserve">编钟的音乐性能与科学价值  </w:t>
      </w:r>
    </w:p>
    <w:p w14:paraId="1E241FE3" w14:textId="77777777" w:rsidR="001C0938" w:rsidRDefault="001C0938">
      <w:pPr>
        <w:rPr>
          <w:rFonts w:hint="eastAsia"/>
        </w:rPr>
      </w:pPr>
      <w:r>
        <w:rPr>
          <w:rFonts w:hint="eastAsia"/>
        </w:rPr>
        <w:t>曾侯乙编钟的音乐性能堪称奇迹。其音域跨越五个半八度，中心音区十二个半音齐备，可演奏五声、六声或七声音阶乐曲，并支持旋宫转调。每件甬钟可发出呈三度音程的双音（隧部音与鼓部音），这一“一钟双音”特性通过合瓦形钟体设计实现，钟壁厚度与音脊设置共同构成共振腔，加速高频衰减，确保音色纯净。</w:t>
      </w:r>
    </w:p>
    <w:p w14:paraId="6022A644" w14:textId="77777777" w:rsidR="001C0938" w:rsidRDefault="001C0938">
      <w:pPr>
        <w:rPr>
          <w:rFonts w:hint="eastAsia"/>
        </w:rPr>
      </w:pPr>
      <w:r>
        <w:rPr>
          <w:rFonts w:hint="eastAsia"/>
        </w:rPr>
        <w:t xml:space="preserve">  </w:t>
      </w:r>
    </w:p>
    <w:p w14:paraId="48C71245" w14:textId="77777777" w:rsidR="001C0938" w:rsidRDefault="001C0938">
      <w:pPr>
        <w:rPr>
          <w:rFonts w:hint="eastAsia"/>
        </w:rPr>
      </w:pPr>
      <w:r>
        <w:rPr>
          <w:rFonts w:hint="eastAsia"/>
        </w:rPr>
        <w:t>编钟铭文共3755字，记载了战国时期各国律名、阶名与变化音名的对照关系，为研究乐律学提供了实证资料。例如，镈钟铭文记载楚惠王于公元前433年特制此钟祭祀曾侯乙，印证了编钟铸造年代。此外，编钟律制融合三分损益律与纯律，是复合律制的典型代表。</w:t>
      </w:r>
    </w:p>
    <w:p w14:paraId="6EEE60F8" w14:textId="77777777" w:rsidR="001C0938" w:rsidRDefault="001C0938">
      <w:pPr>
        <w:rPr>
          <w:rFonts w:hint="eastAsia"/>
        </w:rPr>
      </w:pPr>
      <w:r>
        <w:rPr>
          <w:rFonts w:hint="eastAsia"/>
        </w:rPr>
        <w:t xml:space="preserve">  </w:t>
      </w:r>
    </w:p>
    <w:p w14:paraId="1FEB0D28" w14:textId="77777777" w:rsidR="001C0938" w:rsidRDefault="001C0938">
      <w:pPr>
        <w:rPr>
          <w:rFonts w:hint="eastAsia"/>
        </w:rPr>
      </w:pPr>
    </w:p>
    <w:p w14:paraId="0757E4A1" w14:textId="77777777" w:rsidR="001C0938" w:rsidRDefault="001C0938">
      <w:pPr>
        <w:rPr>
          <w:rFonts w:hint="eastAsia"/>
        </w:rPr>
      </w:pPr>
      <w:r>
        <w:rPr>
          <w:rFonts w:hint="eastAsia"/>
        </w:rPr>
        <w:t xml:space="preserve">编钟的文化意义与历史影响  </w:t>
      </w:r>
    </w:p>
    <w:p w14:paraId="0F6ECC53" w14:textId="77777777" w:rsidR="001C0938" w:rsidRDefault="001C0938">
      <w:pPr>
        <w:rPr>
          <w:rFonts w:hint="eastAsia"/>
        </w:rPr>
      </w:pPr>
      <w:r>
        <w:rPr>
          <w:rFonts w:hint="eastAsia"/>
        </w:rPr>
        <w:t>曾侯乙编钟的出土改写了世界音乐史。它证明早在2400年前，中国已具备完整的十二乐音体系，打破了“十二律源自古希腊”的误解。编钟的铸造技术集中体现了先秦范铸工艺的最高水平，包括浑铸、分铸、铜焊、铸镶、错金等工艺，以及圆雕、浮雕、阴刻等装饰技法。</w:t>
      </w:r>
    </w:p>
    <w:p w14:paraId="4C329F3F" w14:textId="77777777" w:rsidR="001C0938" w:rsidRDefault="001C0938">
      <w:pPr>
        <w:rPr>
          <w:rFonts w:hint="eastAsia"/>
        </w:rPr>
      </w:pPr>
      <w:r>
        <w:rPr>
          <w:rFonts w:hint="eastAsia"/>
        </w:rPr>
        <w:t xml:space="preserve">  </w:t>
      </w:r>
    </w:p>
    <w:p w14:paraId="177BD1EF" w14:textId="77777777" w:rsidR="001C0938" w:rsidRDefault="001C0938">
      <w:pPr>
        <w:rPr>
          <w:rFonts w:hint="eastAsia"/>
        </w:rPr>
      </w:pPr>
      <w:r>
        <w:rPr>
          <w:rFonts w:hint="eastAsia"/>
        </w:rPr>
        <w:t>作为礼乐重器，编钟反映了战国时期贵族对音乐的重视。曾侯乙墓中还出土了编磬、瑟、笙等乐器，构成完整的地下乐宫，彰显了曾国宫廷音乐的繁荣。编钟的“一钟双音”特性与旋宫转调能力，体现了古代音乐理论对实践的指导作用。</w:t>
      </w:r>
    </w:p>
    <w:p w14:paraId="76A3B65A" w14:textId="77777777" w:rsidR="001C0938" w:rsidRDefault="001C093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C8664B0" w14:textId="77777777" w:rsidR="001C0938" w:rsidRDefault="001C0938">
      <w:pPr>
        <w:rPr>
          <w:rFonts w:hint="eastAsia"/>
        </w:rPr>
      </w:pPr>
    </w:p>
    <w:p w14:paraId="119B269A" w14:textId="77777777" w:rsidR="001C0938" w:rsidRDefault="001C0938">
      <w:pPr>
        <w:rPr>
          <w:rFonts w:hint="eastAsia"/>
        </w:rPr>
      </w:pPr>
      <w:r>
        <w:rPr>
          <w:rFonts w:hint="eastAsia"/>
        </w:rPr>
        <w:t xml:space="preserve">编钟的现代传承与保护  </w:t>
      </w:r>
    </w:p>
    <w:p w14:paraId="22D56642" w14:textId="77777777" w:rsidR="001C0938" w:rsidRDefault="001C0938">
      <w:pPr>
        <w:rPr>
          <w:rFonts w:hint="eastAsia"/>
        </w:rPr>
      </w:pPr>
      <w:r>
        <w:rPr>
          <w:rFonts w:hint="eastAsia"/>
        </w:rPr>
        <w:t>曾侯乙编钟现藏于湖北省博物馆，为该馆“镇馆之宝”。2002年，它被列入《首批禁止出国（境）展览文物目录》；2025年，入选《世界记忆名录》。为保护编钟，湖北省博物馆采用恒温恒湿环境，并限制原件演奏次数。1984年，中国成功复制全套曾侯乙编钟，复制品曾用于重大外交活动与音乐演出，如1997年香港回归庆典。</w:t>
      </w:r>
    </w:p>
    <w:p w14:paraId="509D4204" w14:textId="77777777" w:rsidR="001C0938" w:rsidRDefault="001C0938">
      <w:pPr>
        <w:rPr>
          <w:rFonts w:hint="eastAsia"/>
        </w:rPr>
      </w:pPr>
      <w:r>
        <w:rPr>
          <w:rFonts w:hint="eastAsia"/>
        </w:rPr>
        <w:t xml:space="preserve">  </w:t>
      </w:r>
    </w:p>
    <w:p w14:paraId="10C12D9D" w14:textId="77777777" w:rsidR="001C0938" w:rsidRDefault="001C0938">
      <w:pPr>
        <w:rPr>
          <w:rFonts w:hint="eastAsia"/>
        </w:rPr>
      </w:pPr>
      <w:r>
        <w:rPr>
          <w:rFonts w:hint="eastAsia"/>
        </w:rPr>
        <w:t>编钟的拼音“zēng hóu yǐ biān zhōng”已成为文化符号，频繁出现于教材、文献与艺术创作中。例如，人教版语文教材收录编钟故事，以拼音标注生字；某音乐剧以“zēng hóu yǐ biān zhōng”为名，通过现代舞台技术重现编钟演奏场景。</w:t>
      </w:r>
    </w:p>
    <w:p w14:paraId="2F272D25" w14:textId="77777777" w:rsidR="001C0938" w:rsidRDefault="001C093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EDCB78E" w14:textId="77777777" w:rsidR="001C0938" w:rsidRDefault="001C0938">
      <w:pPr>
        <w:rPr>
          <w:rFonts w:hint="eastAsia"/>
        </w:rPr>
      </w:pPr>
    </w:p>
    <w:p w14:paraId="4F0390F1" w14:textId="77777777" w:rsidR="001C0938" w:rsidRDefault="001C0938">
      <w:pPr>
        <w:rPr>
          <w:rFonts w:hint="eastAsia"/>
        </w:rPr>
      </w:pPr>
      <w:r>
        <w:rPr>
          <w:rFonts w:hint="eastAsia"/>
        </w:rPr>
        <w:t xml:space="preserve">结语  </w:t>
      </w:r>
    </w:p>
    <w:p w14:paraId="70CD0353" w14:textId="77777777" w:rsidR="001C0938" w:rsidRDefault="001C0938">
      <w:pPr>
        <w:rPr>
          <w:rFonts w:hint="eastAsia"/>
        </w:rPr>
      </w:pPr>
      <w:r>
        <w:rPr>
          <w:rFonts w:hint="eastAsia"/>
        </w:rPr>
        <w:t>曾侯乙编钟的拼音“zēng hóu yǐ biān zhōng”，不仅是文物名称的发音，更是中华文明智慧的象征。从战国时期的礼乐重器到现代的文化遗产，编钟的音律、铸造工艺与历史价值持续影响着后世对古代文明的理解。正如其拼音所承载的文化密码，编钟将继续在历史长河中奏响中华文明的华彩乐章。</w:t>
      </w:r>
    </w:p>
    <w:p w14:paraId="62FB61AB" w14:textId="77777777" w:rsidR="001C0938" w:rsidRDefault="001C0938">
      <w:pPr>
        <w:rPr>
          <w:rFonts w:hint="eastAsia"/>
        </w:rPr>
      </w:pPr>
    </w:p>
    <w:p w14:paraId="5E904556" w14:textId="77777777" w:rsidR="001C0938" w:rsidRDefault="001C09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E6DF4" w14:textId="60DECDF6" w:rsidR="008B64DA" w:rsidRDefault="008B64DA"/>
    <w:sectPr w:rsidR="008B6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DA"/>
    <w:rsid w:val="001C0938"/>
    <w:rsid w:val="004F584A"/>
    <w:rsid w:val="008B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A2CAD-1A8F-40DA-8056-6FB9637F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4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4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4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4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4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4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4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4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4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4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4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4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4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4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4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4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4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4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4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4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4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4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4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