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3E0" w14:textId="77777777" w:rsidR="00F37E45" w:rsidRDefault="00F37E45">
      <w:pPr>
        <w:rPr>
          <w:rFonts w:hint="eastAsia"/>
        </w:rPr>
      </w:pPr>
      <w:r>
        <w:rPr>
          <w:rFonts w:hint="eastAsia"/>
        </w:rPr>
        <w:t>富马酸替诺福韦二吡呋酯片的拼音：FUMASUAN TINOFOWEI ERBIFUZHIPIAN</w:t>
      </w:r>
    </w:p>
    <w:p w14:paraId="01C82A57" w14:textId="77777777" w:rsidR="00F37E45" w:rsidRDefault="00F37E45">
      <w:pPr>
        <w:rPr>
          <w:rFonts w:hint="eastAsia"/>
        </w:rPr>
      </w:pPr>
    </w:p>
    <w:p w14:paraId="47BF8485" w14:textId="77777777" w:rsidR="00F37E45" w:rsidRDefault="00F37E45">
      <w:pPr>
        <w:rPr>
          <w:rFonts w:hint="eastAsia"/>
        </w:rPr>
      </w:pPr>
      <w:r>
        <w:rPr>
          <w:rFonts w:hint="eastAsia"/>
        </w:rPr>
        <w:t>富马酸替诺福韦二吡呋酯片是一种抗病毒药物，其通用名为Tenofovir Disoproxil Fumarate Tablets。在医学文献和药品说明书中，我们通常会找到该药物的汉语拼音表示，即“Fumasuan Tinofowei Erbifuzhipian”。这一药物是治疗艾滋病（AIDS）和慢性乙型肝炎的重要选择之一。</w:t>
      </w:r>
    </w:p>
    <w:p w14:paraId="09EB574B" w14:textId="77777777" w:rsidR="00F37E45" w:rsidRDefault="00F37E45">
      <w:pPr>
        <w:rPr>
          <w:rFonts w:hint="eastAsia"/>
        </w:rPr>
      </w:pPr>
    </w:p>
    <w:p w14:paraId="71F31015" w14:textId="77777777" w:rsidR="00F37E45" w:rsidRDefault="00F37E45">
      <w:pPr>
        <w:rPr>
          <w:rFonts w:hint="eastAsia"/>
        </w:rPr>
      </w:pPr>
    </w:p>
    <w:p w14:paraId="3104748F" w14:textId="77777777" w:rsidR="00F37E45" w:rsidRDefault="00F37E45">
      <w:pPr>
        <w:rPr>
          <w:rFonts w:hint="eastAsia"/>
        </w:rPr>
      </w:pPr>
      <w:r>
        <w:rPr>
          <w:rFonts w:hint="eastAsia"/>
        </w:rPr>
        <w:t>适应症</w:t>
      </w:r>
    </w:p>
    <w:p w14:paraId="5AD109A8" w14:textId="77777777" w:rsidR="00F37E45" w:rsidRDefault="00F37E45">
      <w:pPr>
        <w:rPr>
          <w:rFonts w:hint="eastAsia"/>
        </w:rPr>
      </w:pPr>
    </w:p>
    <w:p w14:paraId="0A12E863" w14:textId="77777777" w:rsidR="00F37E45" w:rsidRDefault="00F37E45">
      <w:pPr>
        <w:rPr>
          <w:rFonts w:hint="eastAsia"/>
        </w:rPr>
      </w:pPr>
      <w:r>
        <w:rPr>
          <w:rFonts w:hint="eastAsia"/>
        </w:rPr>
        <w:t>富马酸替诺福韦二吡呋酯片主要用于治疗成人HIV-1感染以及与其它抗逆转录病毒药物联合使用，以减少HIV病毒载量，提高患者的生活质量。它也被用于预防高风险人群中的HIV感染，即暴露前预防（PrEP）。对于慢性乙肝患者，此药能有效抑制HBV病毒复制，减轻肝脏炎症，减缓疾病进展，防止发展为肝硬化或肝癌。</w:t>
      </w:r>
    </w:p>
    <w:p w14:paraId="00443159" w14:textId="77777777" w:rsidR="00F37E45" w:rsidRDefault="00F37E45">
      <w:pPr>
        <w:rPr>
          <w:rFonts w:hint="eastAsia"/>
        </w:rPr>
      </w:pPr>
    </w:p>
    <w:p w14:paraId="6DA8D521" w14:textId="77777777" w:rsidR="00F37E45" w:rsidRDefault="00F37E45">
      <w:pPr>
        <w:rPr>
          <w:rFonts w:hint="eastAsia"/>
        </w:rPr>
      </w:pPr>
    </w:p>
    <w:p w14:paraId="41E86C7B" w14:textId="77777777" w:rsidR="00F37E45" w:rsidRDefault="00F37E45">
      <w:pPr>
        <w:rPr>
          <w:rFonts w:hint="eastAsia"/>
        </w:rPr>
      </w:pPr>
      <w:r>
        <w:rPr>
          <w:rFonts w:hint="eastAsia"/>
        </w:rPr>
        <w:t>作用机制</w:t>
      </w:r>
    </w:p>
    <w:p w14:paraId="078BED1E" w14:textId="77777777" w:rsidR="00F37E45" w:rsidRDefault="00F37E45">
      <w:pPr>
        <w:rPr>
          <w:rFonts w:hint="eastAsia"/>
        </w:rPr>
      </w:pPr>
    </w:p>
    <w:p w14:paraId="44E50899" w14:textId="77777777" w:rsidR="00F37E45" w:rsidRDefault="00F37E45">
      <w:pPr>
        <w:rPr>
          <w:rFonts w:hint="eastAsia"/>
        </w:rPr>
      </w:pPr>
      <w:r>
        <w:rPr>
          <w:rFonts w:hint="eastAsia"/>
        </w:rPr>
        <w:t>作为一种核苷酸逆转录酶抑制剂（NtRTI），富马酸替诺福韦二吡呋酯进入体内后被代谢为活性形式——替诺福韦双磷酸盐。这种物质可以整合到正在合成的新病毒DNA链中，从而阻止病毒DNA的进一步合成，达到抑制病毒复制的效果。由于它对宿主细胞DNA聚合酶的影响很小，因此具有较高的选择性和安全性。</w:t>
      </w:r>
    </w:p>
    <w:p w14:paraId="6D6A3384" w14:textId="77777777" w:rsidR="00F37E45" w:rsidRDefault="00F37E45">
      <w:pPr>
        <w:rPr>
          <w:rFonts w:hint="eastAsia"/>
        </w:rPr>
      </w:pPr>
    </w:p>
    <w:p w14:paraId="2EC8F952" w14:textId="77777777" w:rsidR="00F37E45" w:rsidRDefault="00F37E45">
      <w:pPr>
        <w:rPr>
          <w:rFonts w:hint="eastAsia"/>
        </w:rPr>
      </w:pPr>
    </w:p>
    <w:p w14:paraId="0D6774B6" w14:textId="77777777" w:rsidR="00F37E45" w:rsidRDefault="00F37E45">
      <w:pPr>
        <w:rPr>
          <w:rFonts w:hint="eastAsia"/>
        </w:rPr>
      </w:pPr>
      <w:r>
        <w:rPr>
          <w:rFonts w:hint="eastAsia"/>
        </w:rPr>
        <w:t>服用方法及剂量</w:t>
      </w:r>
    </w:p>
    <w:p w14:paraId="5C65CBE7" w14:textId="77777777" w:rsidR="00F37E45" w:rsidRDefault="00F37E45">
      <w:pPr>
        <w:rPr>
          <w:rFonts w:hint="eastAsia"/>
        </w:rPr>
      </w:pPr>
    </w:p>
    <w:p w14:paraId="330AD20A" w14:textId="77777777" w:rsidR="00F37E45" w:rsidRDefault="00F37E45">
      <w:pPr>
        <w:rPr>
          <w:rFonts w:hint="eastAsia"/>
        </w:rPr>
      </w:pPr>
      <w:r>
        <w:rPr>
          <w:rFonts w:hint="eastAsia"/>
        </w:rPr>
        <w:t>该药品的使用必须遵循医生的具体指导。一般情况下，成人每日一次口服一片（300毫克）。但根据患者的肾功能状态、是否与其他药物合用等因素，可能需要调整剂量。对于肾功能不全者，应当根据肌酐清除率来适当降低给药频率。</w:t>
      </w:r>
    </w:p>
    <w:p w14:paraId="4F3C68D1" w14:textId="77777777" w:rsidR="00F37E45" w:rsidRDefault="00F37E45">
      <w:pPr>
        <w:rPr>
          <w:rFonts w:hint="eastAsia"/>
        </w:rPr>
      </w:pPr>
    </w:p>
    <w:p w14:paraId="729657CD" w14:textId="77777777" w:rsidR="00F37E45" w:rsidRDefault="00F37E45">
      <w:pPr>
        <w:rPr>
          <w:rFonts w:hint="eastAsia"/>
        </w:rPr>
      </w:pPr>
    </w:p>
    <w:p w14:paraId="52DDD0CA" w14:textId="77777777" w:rsidR="00F37E45" w:rsidRDefault="00F37E45">
      <w:pPr>
        <w:rPr>
          <w:rFonts w:hint="eastAsia"/>
        </w:rPr>
      </w:pPr>
      <w:r>
        <w:rPr>
          <w:rFonts w:hint="eastAsia"/>
        </w:rPr>
        <w:t>副作用及注意事项</w:t>
      </w:r>
    </w:p>
    <w:p w14:paraId="6359CC25" w14:textId="77777777" w:rsidR="00F37E45" w:rsidRDefault="00F37E45">
      <w:pPr>
        <w:rPr>
          <w:rFonts w:hint="eastAsia"/>
        </w:rPr>
      </w:pPr>
    </w:p>
    <w:p w14:paraId="25875376" w14:textId="77777777" w:rsidR="00F37E45" w:rsidRDefault="00F37E45">
      <w:pPr>
        <w:rPr>
          <w:rFonts w:hint="eastAsia"/>
        </w:rPr>
      </w:pPr>
      <w:r>
        <w:rPr>
          <w:rFonts w:hint="eastAsia"/>
        </w:rPr>
        <w:t>虽然富马酸替诺福韦二吡呋酯片疗效显著，但它也可能引起一些副作用，如头痛、恶心、腹泻等轻微症状，还有可能出现骨密度下降、肾毒性等较为严重的不良反应。因此，在使用过程中需定期监测肾功能和骨骼健康状况。同时，停药时应遵医嘱逐渐减少剂量，以免导致病情反弹。</w:t>
      </w:r>
    </w:p>
    <w:p w14:paraId="456D38AC" w14:textId="77777777" w:rsidR="00F37E45" w:rsidRDefault="00F37E45">
      <w:pPr>
        <w:rPr>
          <w:rFonts w:hint="eastAsia"/>
        </w:rPr>
      </w:pPr>
    </w:p>
    <w:p w14:paraId="23338038" w14:textId="77777777" w:rsidR="00F37E45" w:rsidRDefault="00F37E45">
      <w:pPr>
        <w:rPr>
          <w:rFonts w:hint="eastAsia"/>
        </w:rPr>
      </w:pPr>
    </w:p>
    <w:p w14:paraId="4050F55F" w14:textId="77777777" w:rsidR="00F37E45" w:rsidRDefault="00F37E45">
      <w:pPr>
        <w:rPr>
          <w:rFonts w:hint="eastAsia"/>
        </w:rPr>
      </w:pPr>
      <w:r>
        <w:rPr>
          <w:rFonts w:hint="eastAsia"/>
        </w:rPr>
        <w:t>最后的总结</w:t>
      </w:r>
    </w:p>
    <w:p w14:paraId="05878D53" w14:textId="77777777" w:rsidR="00F37E45" w:rsidRDefault="00F37E45">
      <w:pPr>
        <w:rPr>
          <w:rFonts w:hint="eastAsia"/>
        </w:rPr>
      </w:pPr>
    </w:p>
    <w:p w14:paraId="4B24E7FD" w14:textId="77777777" w:rsidR="00F37E45" w:rsidRDefault="00F37E45">
      <w:pPr>
        <w:rPr>
          <w:rFonts w:hint="eastAsia"/>
        </w:rPr>
      </w:pPr>
      <w:r>
        <w:rPr>
          <w:rFonts w:hint="eastAsia"/>
        </w:rPr>
        <w:t>富马酸替诺福韦二吡呋酯片作为一款高效且相对安全的抗病毒药物，在控制HIV和HBV方面发挥着不可替代的作用。然而，它的使用必须严格遵守医疗专业人员的建议，并配合其他适当的治疗方法，以确保最佳疗效并最小化潜在风险。</w:t>
      </w:r>
    </w:p>
    <w:p w14:paraId="1DF10356" w14:textId="77777777" w:rsidR="00F37E45" w:rsidRDefault="00F37E45">
      <w:pPr>
        <w:rPr>
          <w:rFonts w:hint="eastAsia"/>
        </w:rPr>
      </w:pPr>
    </w:p>
    <w:p w14:paraId="71AB152A" w14:textId="77777777" w:rsidR="00F37E45" w:rsidRDefault="00F37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BABA0" w14:textId="4219C519" w:rsidR="0046510A" w:rsidRDefault="0046510A"/>
    <w:sectPr w:rsidR="0046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0A"/>
    <w:rsid w:val="00317C12"/>
    <w:rsid w:val="0046510A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4437-82CA-4265-B2F1-866D3BF4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