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5A25" w14:textId="77777777" w:rsidR="007838E9" w:rsidRDefault="007838E9">
      <w:pPr>
        <w:rPr>
          <w:rFonts w:hint="eastAsia"/>
        </w:rPr>
      </w:pPr>
    </w:p>
    <w:p w14:paraId="3AD480B7" w14:textId="77777777" w:rsidR="007838E9" w:rsidRDefault="007838E9">
      <w:pPr>
        <w:rPr>
          <w:rFonts w:hint="eastAsia"/>
        </w:rPr>
      </w:pPr>
      <w:r>
        <w:rPr>
          <w:rFonts w:hint="eastAsia"/>
        </w:rPr>
        <w:t>公孙策拼写规则简介</w:t>
      </w:r>
    </w:p>
    <w:p w14:paraId="044682AF" w14:textId="77777777" w:rsidR="007838E9" w:rsidRDefault="007838E9">
      <w:pPr>
        <w:rPr>
          <w:rFonts w:hint="eastAsia"/>
        </w:rPr>
      </w:pPr>
      <w:r>
        <w:rPr>
          <w:rFonts w:hint="eastAsia"/>
        </w:rPr>
        <w:t>公孙策拼写规则，作为中国古代文化中一个独特而有趣的组成部分，不仅反映了汉字的独特魅力，也揭示了古代学者对于语言文字的深刻理解。尽管它并不像现代汉语拼音那样广为人知，但其在特定领域的应用以及对汉字学习和研究的价值不容忽视。</w:t>
      </w:r>
    </w:p>
    <w:p w14:paraId="265813AA" w14:textId="77777777" w:rsidR="007838E9" w:rsidRDefault="007838E9">
      <w:pPr>
        <w:rPr>
          <w:rFonts w:hint="eastAsia"/>
        </w:rPr>
      </w:pPr>
    </w:p>
    <w:p w14:paraId="73E0D029" w14:textId="77777777" w:rsidR="007838E9" w:rsidRDefault="007838E9">
      <w:pPr>
        <w:rPr>
          <w:rFonts w:hint="eastAsia"/>
        </w:rPr>
      </w:pPr>
    </w:p>
    <w:p w14:paraId="6BA50846" w14:textId="77777777" w:rsidR="007838E9" w:rsidRDefault="007838E9">
      <w:pPr>
        <w:rPr>
          <w:rFonts w:hint="eastAsia"/>
        </w:rPr>
      </w:pPr>
      <w:r>
        <w:rPr>
          <w:rFonts w:hint="eastAsia"/>
        </w:rPr>
        <w:t>历史背景与发展</w:t>
      </w:r>
    </w:p>
    <w:p w14:paraId="42500C6B" w14:textId="77777777" w:rsidR="007838E9" w:rsidRDefault="007838E9">
      <w:pPr>
        <w:rPr>
          <w:rFonts w:hint="eastAsia"/>
        </w:rPr>
      </w:pPr>
      <w:r>
        <w:rPr>
          <w:rFonts w:hint="eastAsia"/>
        </w:rPr>
        <w:t>公孙策拼写规则得名于宋代著名文学家、政治家公孙策，但实际上这一规则的形成经历了漫长的历史过程。它起源于古代文人对汉字发音的研究，特别是在唐宋时期达到了高峰。当时，随着文化交流的加深和社会的发展，人们对于准确记录汉字发音的需求日益增加，这促进了各种注音方法的出现和发展，公孙策拼写规则便是其中之一。</w:t>
      </w:r>
    </w:p>
    <w:p w14:paraId="5CD3532F" w14:textId="77777777" w:rsidR="007838E9" w:rsidRDefault="007838E9">
      <w:pPr>
        <w:rPr>
          <w:rFonts w:hint="eastAsia"/>
        </w:rPr>
      </w:pPr>
    </w:p>
    <w:p w14:paraId="397D55C8" w14:textId="77777777" w:rsidR="007838E9" w:rsidRDefault="007838E9">
      <w:pPr>
        <w:rPr>
          <w:rFonts w:hint="eastAsia"/>
        </w:rPr>
      </w:pPr>
    </w:p>
    <w:p w14:paraId="6B9E19D3" w14:textId="77777777" w:rsidR="007838E9" w:rsidRDefault="007838E9">
      <w:pPr>
        <w:rPr>
          <w:rFonts w:hint="eastAsia"/>
        </w:rPr>
      </w:pPr>
      <w:r>
        <w:rPr>
          <w:rFonts w:hint="eastAsia"/>
        </w:rPr>
        <w:t>基本原理与特点</w:t>
      </w:r>
    </w:p>
    <w:p w14:paraId="73C1E01A" w14:textId="77777777" w:rsidR="007838E9" w:rsidRDefault="007838E9">
      <w:pPr>
        <w:rPr>
          <w:rFonts w:hint="eastAsia"/>
        </w:rPr>
      </w:pPr>
      <w:r>
        <w:rPr>
          <w:rFonts w:hint="eastAsia"/>
        </w:rPr>
        <w:t>公孙策拼写规则的核心在于通过简化的符号系统来表示汉字的发音，这种符号系统基于汉字的声母、韵母和声调三要素构建。与现代拼音不同的是，它采用了一些独特的标记方式来区分相似音节，并且更注重于反映古汉语的发音特征。公孙策拼写规则还特别强调了汉字之间的语音联系，有助于学习者更好地理解和记忆汉字。</w:t>
      </w:r>
    </w:p>
    <w:p w14:paraId="170DEC92" w14:textId="77777777" w:rsidR="007838E9" w:rsidRDefault="007838E9">
      <w:pPr>
        <w:rPr>
          <w:rFonts w:hint="eastAsia"/>
        </w:rPr>
      </w:pPr>
    </w:p>
    <w:p w14:paraId="0EF21CB2" w14:textId="77777777" w:rsidR="007838E9" w:rsidRDefault="007838E9">
      <w:pPr>
        <w:rPr>
          <w:rFonts w:hint="eastAsia"/>
        </w:rPr>
      </w:pPr>
    </w:p>
    <w:p w14:paraId="30CE4275" w14:textId="77777777" w:rsidR="007838E9" w:rsidRDefault="007838E9">
      <w:pPr>
        <w:rPr>
          <w:rFonts w:hint="eastAsia"/>
        </w:rPr>
      </w:pPr>
      <w:r>
        <w:rPr>
          <w:rFonts w:hint="eastAsia"/>
        </w:rPr>
        <w:t>应用场景与价值</w:t>
      </w:r>
    </w:p>
    <w:p w14:paraId="078634BC" w14:textId="77777777" w:rsidR="007838E9" w:rsidRDefault="007838E9">
      <w:pPr>
        <w:rPr>
          <w:rFonts w:hint="eastAsia"/>
        </w:rPr>
      </w:pPr>
      <w:r>
        <w:rPr>
          <w:rFonts w:hint="eastAsia"/>
        </w:rPr>
        <w:t>尽管公孙策拼写规则主要应用于学术研究领域，如古籍整理、语言学研究等，但它同样为现代汉语学习者提供了一种新的视角。尤其是在学习古典诗词时，使用该规则可以帮助读者更加准确地把握作品的韵律美。由于它能够较好地反映汉字的原始发音特征，因此对于研究汉语语音演变历史具有重要参考价值。</w:t>
      </w:r>
    </w:p>
    <w:p w14:paraId="54C05F01" w14:textId="77777777" w:rsidR="007838E9" w:rsidRDefault="007838E9">
      <w:pPr>
        <w:rPr>
          <w:rFonts w:hint="eastAsia"/>
        </w:rPr>
      </w:pPr>
    </w:p>
    <w:p w14:paraId="4F431054" w14:textId="77777777" w:rsidR="007838E9" w:rsidRDefault="007838E9">
      <w:pPr>
        <w:rPr>
          <w:rFonts w:hint="eastAsia"/>
        </w:rPr>
      </w:pPr>
    </w:p>
    <w:p w14:paraId="6A30208E" w14:textId="77777777" w:rsidR="007838E9" w:rsidRDefault="007838E9">
      <w:pPr>
        <w:rPr>
          <w:rFonts w:hint="eastAsia"/>
        </w:rPr>
      </w:pPr>
      <w:r>
        <w:rPr>
          <w:rFonts w:hint="eastAsia"/>
        </w:rPr>
        <w:t>挑战与未来展望</w:t>
      </w:r>
    </w:p>
    <w:p w14:paraId="50257502" w14:textId="77777777" w:rsidR="007838E9" w:rsidRDefault="007838E9">
      <w:pPr>
        <w:rPr>
          <w:rFonts w:hint="eastAsia"/>
        </w:rPr>
      </w:pPr>
      <w:r>
        <w:rPr>
          <w:rFonts w:hint="eastAsia"/>
        </w:rPr>
        <w:t>然而，公孙策拼写规则的应用也面临着一些挑战。由于其复杂的标记体系和较高的学习门槛，使得普通学习者难以快速掌握；在数字化时代背景下，如何将这一古老规则与现代技术相结合，以促进其传播和应用也是一个值得思考的问题。不过，随着人们对传统文化兴趣的逐渐升温，相信公孙策拼写规则也将迎来新的发展机遇。</w:t>
      </w:r>
    </w:p>
    <w:p w14:paraId="442322A8" w14:textId="77777777" w:rsidR="007838E9" w:rsidRDefault="007838E9">
      <w:pPr>
        <w:rPr>
          <w:rFonts w:hint="eastAsia"/>
        </w:rPr>
      </w:pPr>
    </w:p>
    <w:p w14:paraId="696CE9DF" w14:textId="77777777" w:rsidR="007838E9" w:rsidRDefault="007838E9">
      <w:pPr>
        <w:rPr>
          <w:rFonts w:hint="eastAsia"/>
        </w:rPr>
      </w:pPr>
    </w:p>
    <w:p w14:paraId="23EC4E1F" w14:textId="77777777" w:rsidR="007838E9" w:rsidRDefault="007838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E8EC8" w14:textId="640B6346" w:rsidR="002634E3" w:rsidRDefault="002634E3"/>
    <w:sectPr w:rsidR="00263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E3"/>
    <w:rsid w:val="002634E3"/>
    <w:rsid w:val="007838E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1EE79-C975-4A14-8469-125DE7B8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