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F728" w14:textId="77777777" w:rsidR="00760D98" w:rsidRDefault="00760D98">
      <w:pPr>
        <w:rPr>
          <w:rFonts w:hint="eastAsia"/>
        </w:rPr>
      </w:pPr>
      <w:r>
        <w:rPr>
          <w:rFonts w:hint="eastAsia"/>
        </w:rPr>
        <w:t>氢氯吡格雷片的拼音：Qinglvbinglei Pian</w:t>
      </w:r>
    </w:p>
    <w:p w14:paraId="4B507E71" w14:textId="77777777" w:rsidR="00760D98" w:rsidRDefault="00760D98">
      <w:pPr>
        <w:rPr>
          <w:rFonts w:hint="eastAsia"/>
        </w:rPr>
      </w:pPr>
      <w:r>
        <w:rPr>
          <w:rFonts w:hint="eastAsia"/>
        </w:rPr>
        <w:t>氢氯吡格雷片，一种在心血管疾病治疗领域广泛应用的药物，其主要成分是氢氯吡格雷（Clopidogrel），是一种抗血小板聚集药。它通过抑制血小板上的P2Y12受体来阻止血小板的激活和聚集，从而减少血液中血栓形成的风险。该药品被广泛用于预防动脉粥样硬化血栓事件的发生，如心肌梗死、缺血性脑卒中等。</w:t>
      </w:r>
    </w:p>
    <w:p w14:paraId="7114DC11" w14:textId="77777777" w:rsidR="00760D98" w:rsidRDefault="00760D98">
      <w:pPr>
        <w:rPr>
          <w:rFonts w:hint="eastAsia"/>
        </w:rPr>
      </w:pPr>
    </w:p>
    <w:p w14:paraId="11F9F720" w14:textId="77777777" w:rsidR="00760D98" w:rsidRDefault="00760D98">
      <w:pPr>
        <w:rPr>
          <w:rFonts w:hint="eastAsia"/>
        </w:rPr>
      </w:pPr>
      <w:r>
        <w:rPr>
          <w:rFonts w:hint="eastAsia"/>
        </w:rPr>
        <w:t>适应症与临床应用</w:t>
      </w:r>
    </w:p>
    <w:p w14:paraId="0732014A" w14:textId="77777777" w:rsidR="00760D98" w:rsidRDefault="00760D98">
      <w:pPr>
        <w:rPr>
          <w:rFonts w:hint="eastAsia"/>
        </w:rPr>
      </w:pPr>
      <w:r>
        <w:rPr>
          <w:rFonts w:hint="eastAsia"/>
        </w:rPr>
        <w:t>在临床上，氢氯吡格雷片主要用于那些已经经历了一次急性冠脉综合症（ACS），包括不稳定性心绞痛、非ST段抬高型心肌梗死（NSTEMI）或ST段抬高型心肌梗死（STEMI），以及接受经皮冠状动脉介入治疗（PCI）的患者。它也适用于近期发生过缺血性脑卒中或确诊有外周动脉疾病的患者，以降低这些人群再次出现严重心血管事件的风险。</w:t>
      </w:r>
    </w:p>
    <w:p w14:paraId="4933D7AF" w14:textId="77777777" w:rsidR="00760D98" w:rsidRDefault="00760D98">
      <w:pPr>
        <w:rPr>
          <w:rFonts w:hint="eastAsia"/>
        </w:rPr>
      </w:pPr>
    </w:p>
    <w:p w14:paraId="6B3F44D2" w14:textId="77777777" w:rsidR="00760D98" w:rsidRDefault="00760D98">
      <w:pPr>
        <w:rPr>
          <w:rFonts w:hint="eastAsia"/>
        </w:rPr>
      </w:pPr>
      <w:r>
        <w:rPr>
          <w:rFonts w:hint="eastAsia"/>
        </w:rPr>
        <w:t>使用方法及剂量</w:t>
      </w:r>
    </w:p>
    <w:p w14:paraId="34E469FA" w14:textId="77777777" w:rsidR="00760D98" w:rsidRDefault="00760D98">
      <w:pPr>
        <w:rPr>
          <w:rFonts w:hint="eastAsia"/>
        </w:rPr>
      </w:pPr>
      <w:r>
        <w:rPr>
          <w:rFonts w:hint="eastAsia"/>
        </w:rPr>
        <w:t>通常情况下，成人推荐剂量为每日一次75毫克口服给药，对于急性冠脉综合征的患者，在首次服用时可能会给予300毫克的负荷剂量。具体的用药指导应根据医生的处方和患者的个体情况而定。值得注意的是，氢氯吡格雷需要经过肝脏代谢激活才能发挥药效，因此肝功能不全的患者可能需要调整剂量或谨慎使用。</w:t>
      </w:r>
    </w:p>
    <w:p w14:paraId="7296382B" w14:textId="77777777" w:rsidR="00760D98" w:rsidRDefault="00760D98">
      <w:pPr>
        <w:rPr>
          <w:rFonts w:hint="eastAsia"/>
        </w:rPr>
      </w:pPr>
    </w:p>
    <w:p w14:paraId="7B74B396" w14:textId="77777777" w:rsidR="00760D98" w:rsidRDefault="00760D98">
      <w:pPr>
        <w:rPr>
          <w:rFonts w:hint="eastAsia"/>
        </w:rPr>
      </w:pPr>
      <w:r>
        <w:rPr>
          <w:rFonts w:hint="eastAsia"/>
        </w:rPr>
        <w:t>副作用与注意事项</w:t>
      </w:r>
    </w:p>
    <w:p w14:paraId="502A1054" w14:textId="77777777" w:rsidR="00760D98" w:rsidRDefault="00760D98">
      <w:pPr>
        <w:rPr>
          <w:rFonts w:hint="eastAsia"/>
        </w:rPr>
      </w:pPr>
      <w:r>
        <w:rPr>
          <w:rFonts w:hint="eastAsia"/>
        </w:rPr>
        <w:t>尽管氢氯吡格雷片对许多患者来说是安全有效的，但它也可能引发一些副作用。常见的不良反应包括出血倾向增加，表现为鼻衄、牙龈出血、皮肤瘀斑等；还有可能出现消化道不适，如腹泻、腹痛等症状。极少数情况下，可能会发生严重的副作用，例如不可逆性的脑出血或胃肠道出血，这需要立即就医处理。由于药物相互作用的可能性，患者在使用氢氯吡格雷期间应避免自行服用其他未经医生同意的药物。</w:t>
      </w:r>
    </w:p>
    <w:p w14:paraId="28F6F2EC" w14:textId="77777777" w:rsidR="00760D98" w:rsidRDefault="00760D98">
      <w:pPr>
        <w:rPr>
          <w:rFonts w:hint="eastAsia"/>
        </w:rPr>
      </w:pPr>
    </w:p>
    <w:p w14:paraId="2967F838" w14:textId="77777777" w:rsidR="00760D98" w:rsidRDefault="00760D98">
      <w:pPr>
        <w:rPr>
          <w:rFonts w:hint="eastAsia"/>
        </w:rPr>
      </w:pPr>
      <w:r>
        <w:rPr>
          <w:rFonts w:hint="eastAsia"/>
        </w:rPr>
        <w:t>禁忌症</w:t>
      </w:r>
    </w:p>
    <w:p w14:paraId="2965C34C" w14:textId="77777777" w:rsidR="00760D98" w:rsidRDefault="00760D98">
      <w:pPr>
        <w:rPr>
          <w:rFonts w:hint="eastAsia"/>
        </w:rPr>
      </w:pPr>
      <w:r>
        <w:rPr>
          <w:rFonts w:hint="eastAsia"/>
        </w:rPr>
        <w:t>氢氯吡格雷片并不适合所有人。对于已知对该药物成分过敏者，或是存在活动性病理性出血（比如内脏出血）的患者，应禁止使用此药。孕妇和哺乳期妇女应在权衡利弊后由医生决定是否使用，因为目前尚无足够的研究证明其对胎儿或婴儿的安全性。</w:t>
      </w:r>
    </w:p>
    <w:p w14:paraId="279896D4" w14:textId="77777777" w:rsidR="00760D98" w:rsidRDefault="00760D98">
      <w:pPr>
        <w:rPr>
          <w:rFonts w:hint="eastAsia"/>
        </w:rPr>
      </w:pPr>
    </w:p>
    <w:p w14:paraId="3BD3EF3F" w14:textId="77777777" w:rsidR="00760D98" w:rsidRDefault="00760D98">
      <w:pPr>
        <w:rPr>
          <w:rFonts w:hint="eastAsia"/>
        </w:rPr>
      </w:pPr>
      <w:r>
        <w:rPr>
          <w:rFonts w:hint="eastAsia"/>
        </w:rPr>
        <w:t>储存条件</w:t>
      </w:r>
    </w:p>
    <w:p w14:paraId="0405CF83" w14:textId="77777777" w:rsidR="00760D98" w:rsidRDefault="00760D98">
      <w:pPr>
        <w:rPr>
          <w:rFonts w:hint="eastAsia"/>
        </w:rPr>
      </w:pPr>
      <w:r>
        <w:rPr>
          <w:rFonts w:hint="eastAsia"/>
        </w:rPr>
        <w:t>为了确保药物的有效性和安全性，氢氯吡格雷片应该储存在干燥、阴凉的地方，远离儿童接触不到的位置。一般建议的储存温度不超过30摄氏度，并且要保持包装密封良好，以防潮湿影响药效。</w:t>
      </w:r>
    </w:p>
    <w:p w14:paraId="26392111" w14:textId="77777777" w:rsidR="00760D98" w:rsidRDefault="00760D98">
      <w:pPr>
        <w:rPr>
          <w:rFonts w:hint="eastAsia"/>
        </w:rPr>
      </w:pPr>
    </w:p>
    <w:p w14:paraId="0258A34F" w14:textId="77777777" w:rsidR="00760D98" w:rsidRDefault="00760D98">
      <w:pPr>
        <w:rPr>
          <w:rFonts w:hint="eastAsia"/>
        </w:rPr>
      </w:pPr>
      <w:r>
        <w:rPr>
          <w:rFonts w:hint="eastAsia"/>
        </w:rPr>
        <w:t>最后的总结</w:t>
      </w:r>
    </w:p>
    <w:p w14:paraId="2176A9C7" w14:textId="77777777" w:rsidR="00760D98" w:rsidRDefault="00760D98">
      <w:pPr>
        <w:rPr>
          <w:rFonts w:hint="eastAsia"/>
        </w:rPr>
      </w:pPr>
      <w:r>
        <w:rPr>
          <w:rFonts w:hint="eastAsia"/>
        </w:rPr>
        <w:t>氢氯吡格雷片作为一种重要的抗血小板药物，在现代心血管疾病防治中扮演着不可或缺的角色。正确合理地使用该药物，不仅可以有效降低患者再发心血管事件的风险，还能提高生活质量。然而，任何药物都有其适用范围和潜在风险，所以患者在使用前务必咨询专业医师，严格按照医嘱服药，并注意观察身体反应，以便及时应对可能出现的问题。</w:t>
      </w:r>
    </w:p>
    <w:p w14:paraId="420250F6" w14:textId="77777777" w:rsidR="00760D98" w:rsidRDefault="00760D98">
      <w:pPr>
        <w:rPr>
          <w:rFonts w:hint="eastAsia"/>
        </w:rPr>
      </w:pPr>
    </w:p>
    <w:p w14:paraId="16D5C66D" w14:textId="77777777" w:rsidR="00760D98" w:rsidRDefault="00760D98">
      <w:pPr>
        <w:rPr>
          <w:rFonts w:hint="eastAsia"/>
        </w:rPr>
      </w:pPr>
      <w:r>
        <w:rPr>
          <w:rFonts w:hint="eastAsia"/>
        </w:rPr>
        <w:t>本文是由每日作文网(2345lzwz.com)为大家创作</w:t>
      </w:r>
    </w:p>
    <w:p w14:paraId="663265C4" w14:textId="6DE8CB8D" w:rsidR="00F37DE4" w:rsidRDefault="00F37DE4"/>
    <w:sectPr w:rsidR="00F37D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E4"/>
    <w:rsid w:val="002D0BB4"/>
    <w:rsid w:val="00760D98"/>
    <w:rsid w:val="00F37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7C0CD-CFD7-4566-8A7C-D85C2F8C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D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D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D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D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D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D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D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D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D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D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D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D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DE4"/>
    <w:rPr>
      <w:rFonts w:cstheme="majorBidi"/>
      <w:color w:val="2F5496" w:themeColor="accent1" w:themeShade="BF"/>
      <w:sz w:val="28"/>
      <w:szCs w:val="28"/>
    </w:rPr>
  </w:style>
  <w:style w:type="character" w:customStyle="1" w:styleId="50">
    <w:name w:val="标题 5 字符"/>
    <w:basedOn w:val="a0"/>
    <w:link w:val="5"/>
    <w:uiPriority w:val="9"/>
    <w:semiHidden/>
    <w:rsid w:val="00F37DE4"/>
    <w:rPr>
      <w:rFonts w:cstheme="majorBidi"/>
      <w:color w:val="2F5496" w:themeColor="accent1" w:themeShade="BF"/>
      <w:sz w:val="24"/>
    </w:rPr>
  </w:style>
  <w:style w:type="character" w:customStyle="1" w:styleId="60">
    <w:name w:val="标题 6 字符"/>
    <w:basedOn w:val="a0"/>
    <w:link w:val="6"/>
    <w:uiPriority w:val="9"/>
    <w:semiHidden/>
    <w:rsid w:val="00F37DE4"/>
    <w:rPr>
      <w:rFonts w:cstheme="majorBidi"/>
      <w:b/>
      <w:bCs/>
      <w:color w:val="2F5496" w:themeColor="accent1" w:themeShade="BF"/>
    </w:rPr>
  </w:style>
  <w:style w:type="character" w:customStyle="1" w:styleId="70">
    <w:name w:val="标题 7 字符"/>
    <w:basedOn w:val="a0"/>
    <w:link w:val="7"/>
    <w:uiPriority w:val="9"/>
    <w:semiHidden/>
    <w:rsid w:val="00F37DE4"/>
    <w:rPr>
      <w:rFonts w:cstheme="majorBidi"/>
      <w:b/>
      <w:bCs/>
      <w:color w:val="595959" w:themeColor="text1" w:themeTint="A6"/>
    </w:rPr>
  </w:style>
  <w:style w:type="character" w:customStyle="1" w:styleId="80">
    <w:name w:val="标题 8 字符"/>
    <w:basedOn w:val="a0"/>
    <w:link w:val="8"/>
    <w:uiPriority w:val="9"/>
    <w:semiHidden/>
    <w:rsid w:val="00F37DE4"/>
    <w:rPr>
      <w:rFonts w:cstheme="majorBidi"/>
      <w:color w:val="595959" w:themeColor="text1" w:themeTint="A6"/>
    </w:rPr>
  </w:style>
  <w:style w:type="character" w:customStyle="1" w:styleId="90">
    <w:name w:val="标题 9 字符"/>
    <w:basedOn w:val="a0"/>
    <w:link w:val="9"/>
    <w:uiPriority w:val="9"/>
    <w:semiHidden/>
    <w:rsid w:val="00F37DE4"/>
    <w:rPr>
      <w:rFonts w:eastAsiaTheme="majorEastAsia" w:cstheme="majorBidi"/>
      <w:color w:val="595959" w:themeColor="text1" w:themeTint="A6"/>
    </w:rPr>
  </w:style>
  <w:style w:type="paragraph" w:styleId="a3">
    <w:name w:val="Title"/>
    <w:basedOn w:val="a"/>
    <w:next w:val="a"/>
    <w:link w:val="a4"/>
    <w:uiPriority w:val="10"/>
    <w:qFormat/>
    <w:rsid w:val="00F37D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D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D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D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DE4"/>
    <w:pPr>
      <w:spacing w:before="160"/>
      <w:jc w:val="center"/>
    </w:pPr>
    <w:rPr>
      <w:i/>
      <w:iCs/>
      <w:color w:val="404040" w:themeColor="text1" w:themeTint="BF"/>
    </w:rPr>
  </w:style>
  <w:style w:type="character" w:customStyle="1" w:styleId="a8">
    <w:name w:val="引用 字符"/>
    <w:basedOn w:val="a0"/>
    <w:link w:val="a7"/>
    <w:uiPriority w:val="29"/>
    <w:rsid w:val="00F37DE4"/>
    <w:rPr>
      <w:i/>
      <w:iCs/>
      <w:color w:val="404040" w:themeColor="text1" w:themeTint="BF"/>
    </w:rPr>
  </w:style>
  <w:style w:type="paragraph" w:styleId="a9">
    <w:name w:val="List Paragraph"/>
    <w:basedOn w:val="a"/>
    <w:uiPriority w:val="34"/>
    <w:qFormat/>
    <w:rsid w:val="00F37DE4"/>
    <w:pPr>
      <w:ind w:left="720"/>
      <w:contextualSpacing/>
    </w:pPr>
  </w:style>
  <w:style w:type="character" w:styleId="aa">
    <w:name w:val="Intense Emphasis"/>
    <w:basedOn w:val="a0"/>
    <w:uiPriority w:val="21"/>
    <w:qFormat/>
    <w:rsid w:val="00F37DE4"/>
    <w:rPr>
      <w:i/>
      <w:iCs/>
      <w:color w:val="2F5496" w:themeColor="accent1" w:themeShade="BF"/>
    </w:rPr>
  </w:style>
  <w:style w:type="paragraph" w:styleId="ab">
    <w:name w:val="Intense Quote"/>
    <w:basedOn w:val="a"/>
    <w:next w:val="a"/>
    <w:link w:val="ac"/>
    <w:uiPriority w:val="30"/>
    <w:qFormat/>
    <w:rsid w:val="00F37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DE4"/>
    <w:rPr>
      <w:i/>
      <w:iCs/>
      <w:color w:val="2F5496" w:themeColor="accent1" w:themeShade="BF"/>
    </w:rPr>
  </w:style>
  <w:style w:type="character" w:styleId="ad">
    <w:name w:val="Intense Reference"/>
    <w:basedOn w:val="a0"/>
    <w:uiPriority w:val="32"/>
    <w:qFormat/>
    <w:rsid w:val="00F37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