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366A" w14:textId="77777777" w:rsidR="00F001BC" w:rsidRDefault="00F001BC">
      <w:pPr>
        <w:rPr>
          <w:rFonts w:hint="eastAsia"/>
        </w:rPr>
      </w:pPr>
      <w:r>
        <w:rPr>
          <w:rFonts w:hint="eastAsia"/>
        </w:rPr>
        <w:t>帖撒罗尼迦的拼音：Tíessaluōníjiā</w:t>
      </w:r>
    </w:p>
    <w:p w14:paraId="3148C84E" w14:textId="77777777" w:rsidR="00F001BC" w:rsidRDefault="00F001BC">
      <w:pPr>
        <w:rPr>
          <w:rFonts w:hint="eastAsia"/>
        </w:rPr>
      </w:pPr>
      <w:r>
        <w:rPr>
          <w:rFonts w:hint="eastAsia"/>
        </w:rPr>
        <w:t>在希腊北部，有一座历史悠久的城市，名为帖撒罗尼迦。这座城市不仅是马其顿地区的重要中心，也是古罗马帝国和拜占庭帝国时期的商贸重镇。帖撒罗尼迦的拼音是“Tíessaluōníjiā”，它承载着丰富的历史记忆与文化传统，见证了诸多文明的兴衰变迁。</w:t>
      </w:r>
    </w:p>
    <w:p w14:paraId="3A165EC0" w14:textId="77777777" w:rsidR="00F001BC" w:rsidRDefault="00F001BC">
      <w:pPr>
        <w:rPr>
          <w:rFonts w:hint="eastAsia"/>
        </w:rPr>
      </w:pPr>
    </w:p>
    <w:p w14:paraId="64EC64E4" w14:textId="77777777" w:rsidR="00F001BC" w:rsidRDefault="00F001BC">
      <w:pPr>
        <w:rPr>
          <w:rFonts w:hint="eastAsia"/>
        </w:rPr>
      </w:pPr>
      <w:r>
        <w:rPr>
          <w:rFonts w:hint="eastAsia"/>
        </w:rPr>
        <w:t>城市起源与发展</w:t>
      </w:r>
    </w:p>
    <w:p w14:paraId="5C8952C6" w14:textId="77777777" w:rsidR="00F001BC" w:rsidRDefault="00F001BC">
      <w:pPr>
        <w:rPr>
          <w:rFonts w:hint="eastAsia"/>
        </w:rPr>
      </w:pPr>
      <w:r>
        <w:rPr>
          <w:rFonts w:hint="eastAsia"/>
        </w:rPr>
        <w:t>帖撒罗尼迦由卡山德于公元前315年建立，以纪念亚历山大大帝的遗孀帖撒罗尼迦。从建立之初，这座城市便处于重要的地理位置上，成为了连接欧洲与亚洲贸易路线上的关键节点。随着罗马帝国的扩张，帖撒罗尼迦逐渐繁荣起来，成为马其顿行省的首府，并享有“小罗马”的美誉。这里不仅有繁忙的港口、宏伟的建筑，还有多元的文化交流。</w:t>
      </w:r>
    </w:p>
    <w:p w14:paraId="01EF5C25" w14:textId="77777777" w:rsidR="00F001BC" w:rsidRDefault="00F001BC">
      <w:pPr>
        <w:rPr>
          <w:rFonts w:hint="eastAsia"/>
        </w:rPr>
      </w:pPr>
    </w:p>
    <w:p w14:paraId="077AD88E" w14:textId="77777777" w:rsidR="00F001BC" w:rsidRDefault="00F001BC">
      <w:pPr>
        <w:rPr>
          <w:rFonts w:hint="eastAsia"/>
        </w:rPr>
      </w:pPr>
      <w:r>
        <w:rPr>
          <w:rFonts w:hint="eastAsia"/>
        </w:rPr>
        <w:t>基督教早期传播</w:t>
      </w:r>
    </w:p>
    <w:p w14:paraId="3BE26F7C" w14:textId="77777777" w:rsidR="00F001BC" w:rsidRDefault="00F001BC">
      <w:pPr>
        <w:rPr>
          <w:rFonts w:hint="eastAsia"/>
        </w:rPr>
      </w:pPr>
      <w:r>
        <w:rPr>
          <w:rFonts w:hint="eastAsia"/>
        </w:rPr>
        <w:t>在基督教初期，帖撒罗尼迦扮演了至关重要的角色。使徒保罗曾两次访问此地，并在此建立了教会。他写给当地信徒的两封书信——《帖撒罗尼迦前书》和《帖撒罗尼迦后书》，收录于《新约圣经》中，成为基督教教义发展史上的重要文献。这些书信传达了对信仰的坚定信念以及面对迫害时应有的态度，对后世产生了深远的影响。</w:t>
      </w:r>
    </w:p>
    <w:p w14:paraId="1EF25270" w14:textId="77777777" w:rsidR="00F001BC" w:rsidRDefault="00F001BC">
      <w:pPr>
        <w:rPr>
          <w:rFonts w:hint="eastAsia"/>
        </w:rPr>
      </w:pPr>
    </w:p>
    <w:p w14:paraId="35E68BF7" w14:textId="77777777" w:rsidR="00F001BC" w:rsidRDefault="00F001BC">
      <w:pPr>
        <w:rPr>
          <w:rFonts w:hint="eastAsia"/>
        </w:rPr>
      </w:pPr>
      <w:r>
        <w:rPr>
          <w:rFonts w:hint="eastAsia"/>
        </w:rPr>
        <w:t>拜占庭时期的重要性</w:t>
      </w:r>
    </w:p>
    <w:p w14:paraId="4C22C209" w14:textId="77777777" w:rsidR="00F001BC" w:rsidRDefault="00F001BC">
      <w:pPr>
        <w:rPr>
          <w:rFonts w:hint="eastAsia"/>
        </w:rPr>
      </w:pPr>
      <w:r>
        <w:rPr>
          <w:rFonts w:hint="eastAsia"/>
        </w:rPr>
        <w:t>进入拜占庭时代后，帖撒罗尼迦继续保持着其作为帝国第二大城市的荣耀地位。它是防御北方蛮族入侵的一道坚固防线，同时还是宗教活动的中心之一。许多著名的教堂如圣索非亚大教堂（不同于伊斯坦布尔的圣索菲亚大教堂），至今仍屹立在这片土地上，它们以其独特的建筑风格见证着这座古城的历史变迁。</w:t>
      </w:r>
    </w:p>
    <w:p w14:paraId="38F1011D" w14:textId="77777777" w:rsidR="00F001BC" w:rsidRDefault="00F001BC">
      <w:pPr>
        <w:rPr>
          <w:rFonts w:hint="eastAsia"/>
        </w:rPr>
      </w:pPr>
    </w:p>
    <w:p w14:paraId="5D110653" w14:textId="77777777" w:rsidR="00F001BC" w:rsidRDefault="00F001BC">
      <w:pPr>
        <w:rPr>
          <w:rFonts w:hint="eastAsia"/>
        </w:rPr>
      </w:pPr>
      <w:r>
        <w:rPr>
          <w:rFonts w:hint="eastAsia"/>
        </w:rPr>
        <w:t>现代帖撒罗尼迦</w:t>
      </w:r>
    </w:p>
    <w:p w14:paraId="58F4C267" w14:textId="77777777" w:rsidR="00F001BC" w:rsidRDefault="00F001BC">
      <w:pPr>
        <w:rPr>
          <w:rFonts w:hint="eastAsia"/>
        </w:rPr>
      </w:pPr>
      <w:r>
        <w:rPr>
          <w:rFonts w:hint="eastAsia"/>
        </w:rPr>
        <w:t>帖撒罗尼迦已成为希腊第二大城市，同时也是色雷斯-马其顿地区的经济、文化和教育枢纽。每年吸引着大量游客前来探索其丰富的历史遗迹。除了古老城墙、博物馆外，现代帖撒罗尼迦还拥有充满活力的艺术场景、美食餐厅以及国际化的都市风貌。无论是漫步在古老的街道间感受历史的气息，还是参与当地的节日庆典体验民俗风情，帖撒罗尼迦都能为每一位到访者提供难忘的经历。</w:t>
      </w:r>
    </w:p>
    <w:p w14:paraId="6FA537A3" w14:textId="77777777" w:rsidR="00F001BC" w:rsidRDefault="00F001BC">
      <w:pPr>
        <w:rPr>
          <w:rFonts w:hint="eastAsia"/>
        </w:rPr>
      </w:pPr>
    </w:p>
    <w:p w14:paraId="31E5FAA8" w14:textId="77777777" w:rsidR="00F001BC" w:rsidRDefault="00F001BC">
      <w:pPr>
        <w:rPr>
          <w:rFonts w:hint="eastAsia"/>
        </w:rPr>
      </w:pPr>
      <w:r>
        <w:rPr>
          <w:rFonts w:hint="eastAsia"/>
        </w:rPr>
        <w:t>最后的总结</w:t>
      </w:r>
    </w:p>
    <w:p w14:paraId="16C6FA10" w14:textId="77777777" w:rsidR="00F001BC" w:rsidRDefault="00F001BC">
      <w:pPr>
        <w:rPr>
          <w:rFonts w:hint="eastAsia"/>
        </w:rPr>
      </w:pPr>
      <w:r>
        <w:rPr>
          <w:rFonts w:hint="eastAsia"/>
        </w:rPr>
        <w:t>从古代到现代，帖撒罗尼迦一直是一座充满魅力的城市。它不仅仅是因为那些保存完好的历史遗迹而闻名，更重要的是这里的人们对于自身文化的热爱与传承。通过了解帖撒罗尼迦的历史，我们可以更好地理解地中海地区乃至整个西方文明的发展脉络。</w:t>
      </w:r>
    </w:p>
    <w:p w14:paraId="7C47255A" w14:textId="77777777" w:rsidR="00F001BC" w:rsidRDefault="00F001BC">
      <w:pPr>
        <w:rPr>
          <w:rFonts w:hint="eastAsia"/>
        </w:rPr>
      </w:pPr>
    </w:p>
    <w:p w14:paraId="1851F7A5" w14:textId="77777777" w:rsidR="00F001BC" w:rsidRDefault="00F00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679F0" w14:textId="5070F41E" w:rsidR="00584DB3" w:rsidRDefault="00584DB3"/>
    <w:sectPr w:rsidR="0058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B3"/>
    <w:rsid w:val="00584DB3"/>
    <w:rsid w:val="009442F6"/>
    <w:rsid w:val="00F0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732E6-D176-4338-82B0-8F07F472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