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20AF" w14:textId="77777777" w:rsidR="00D91945" w:rsidRDefault="00D91945">
      <w:pPr>
        <w:rPr>
          <w:rFonts w:hint="eastAsia"/>
        </w:rPr>
      </w:pPr>
      <w:r>
        <w:rPr>
          <w:rFonts w:hint="eastAsia"/>
        </w:rPr>
        <w:t>司马光：历史长河中的璀璨星辰</w:t>
      </w:r>
    </w:p>
    <w:p w14:paraId="75525CBF" w14:textId="77777777" w:rsidR="00D91945" w:rsidRDefault="00D91945">
      <w:pPr>
        <w:rPr>
          <w:rFonts w:hint="eastAsia"/>
        </w:rPr>
      </w:pPr>
      <w:r>
        <w:rPr>
          <w:rFonts w:hint="eastAsia"/>
        </w:rPr>
        <w:t>在中国悠久的历史画卷中，北宋时期的政治家、史学家司马光犹如一颗闪耀的星辰。他的一生不仅为后世留下了《资治通鉴》这一部编年体通史巨著，还以其高尚的人格和卓越的政治智慧影响着时代的进程。司马光，字君实，号迂叟，生于1019年，卒于1086年，是中国历史上一位不可多得的人物。</w:t>
      </w:r>
    </w:p>
    <w:p w14:paraId="334AB605" w14:textId="77777777" w:rsidR="00D91945" w:rsidRDefault="00D91945">
      <w:pPr>
        <w:rPr>
          <w:rFonts w:hint="eastAsia"/>
        </w:rPr>
      </w:pPr>
    </w:p>
    <w:p w14:paraId="292D183A" w14:textId="77777777" w:rsidR="00D91945" w:rsidRDefault="00D91945">
      <w:pPr>
        <w:rPr>
          <w:rFonts w:hint="eastAsia"/>
        </w:rPr>
      </w:pPr>
      <w:r>
        <w:rPr>
          <w:rFonts w:hint="eastAsia"/>
        </w:rPr>
        <w:t>早年的求学与仕途起步</w:t>
      </w:r>
    </w:p>
    <w:p w14:paraId="69CD4BC5" w14:textId="77777777" w:rsidR="00D91945" w:rsidRDefault="00D91945">
      <w:pPr>
        <w:rPr>
          <w:rFonts w:hint="eastAsia"/>
        </w:rPr>
      </w:pPr>
      <w:r>
        <w:rPr>
          <w:rFonts w:hint="eastAsia"/>
        </w:rPr>
        <w:t>司马光出身于官宦世家，自幼聪明好学，勤奋刻苦。他的父亲司马池是一位清廉的地方官员，对司马光的教育极为重视。在这样的家庭环境中成长，司马光养成了严谨的治学态度和正直的品格。青年时期的司马光通过科举考试步入仕途，开始担任一些较低级别的官职，在实践中积累了丰富的政治经验。随着政绩的逐渐显现，司马光得到了朝廷的重用，其才能得以充分发挥。</w:t>
      </w:r>
    </w:p>
    <w:p w14:paraId="5D715333" w14:textId="77777777" w:rsidR="00D91945" w:rsidRDefault="00D91945">
      <w:pPr>
        <w:rPr>
          <w:rFonts w:hint="eastAsia"/>
        </w:rPr>
      </w:pPr>
    </w:p>
    <w:p w14:paraId="728D2CCA" w14:textId="77777777" w:rsidR="00D91945" w:rsidRDefault="00D91945">
      <w:pPr>
        <w:rPr>
          <w:rFonts w:hint="eastAsia"/>
        </w:rPr>
      </w:pPr>
      <w:r>
        <w:rPr>
          <w:rFonts w:hint="eastAsia"/>
        </w:rPr>
        <w:t>《资治通鉴》——一部不朽的史书</w:t>
      </w:r>
    </w:p>
    <w:p w14:paraId="52F91F7F" w14:textId="77777777" w:rsidR="00D91945" w:rsidRDefault="00D91945">
      <w:pPr>
        <w:rPr>
          <w:rFonts w:hint="eastAsia"/>
        </w:rPr>
      </w:pPr>
      <w:r>
        <w:rPr>
          <w:rFonts w:hint="eastAsia"/>
        </w:rPr>
        <w:t>司马光最为人所知的是他主持编纂的《资治通鉴》，这部涵盖了从战国至五代长达一千三百六十二年的历史巨著，是中华文明史上的一大瑰宝。《资治通鉴》以“鉴于往事，有资于治道”为目的，不仅详细记录了历代兴衰更替，而且深刻分析了其中的经验教训，旨在为当朝及后代统治者提供借鉴。为了完成这部著作，司马光和他的团队耗费了近二十年的时间，查阅了大量的史料，并进行了细致的考证与整理。</w:t>
      </w:r>
    </w:p>
    <w:p w14:paraId="6660FD31" w14:textId="77777777" w:rsidR="00D91945" w:rsidRDefault="00D91945">
      <w:pPr>
        <w:rPr>
          <w:rFonts w:hint="eastAsia"/>
        </w:rPr>
      </w:pPr>
    </w:p>
    <w:p w14:paraId="3665158E" w14:textId="77777777" w:rsidR="00D91945" w:rsidRDefault="00D91945">
      <w:pPr>
        <w:rPr>
          <w:rFonts w:hint="eastAsia"/>
        </w:rPr>
      </w:pPr>
      <w:r>
        <w:rPr>
          <w:rFonts w:hint="eastAsia"/>
        </w:rPr>
        <w:t>政治生涯的高峰与低谷</w:t>
      </w:r>
    </w:p>
    <w:p w14:paraId="04EF07D0" w14:textId="77777777" w:rsidR="00D91945" w:rsidRDefault="00D91945">
      <w:pPr>
        <w:rPr>
          <w:rFonts w:hint="eastAsia"/>
        </w:rPr>
      </w:pPr>
      <w:r>
        <w:rPr>
          <w:rFonts w:hint="eastAsia"/>
        </w:rPr>
        <w:t>司马光在政治上主张稳健改革，反对激进变革，这使得他在新旧党争中常常处于保守派的位置。尽管如此，他依然坚持自己的政治理想，积极推行有利于国家和人民的政策。然而，由于当时复杂的政局，司马光也曾遭遇过多次贬谪。即便如此，他从未放弃过对于国家命运的关注以及对于理想社会的追求。特别是在宋神宗熙宁年间的新法运动期间，司马光因为反对王安石变法而被排挤出中央政府，但他始终没有停止思考如何改善国家治理。</w:t>
      </w:r>
    </w:p>
    <w:p w14:paraId="0DEFD34F" w14:textId="77777777" w:rsidR="00D91945" w:rsidRDefault="00D91945">
      <w:pPr>
        <w:rPr>
          <w:rFonts w:hint="eastAsia"/>
        </w:rPr>
      </w:pPr>
    </w:p>
    <w:p w14:paraId="047C1DCD" w14:textId="77777777" w:rsidR="00D91945" w:rsidRDefault="00D91945">
      <w:pPr>
        <w:rPr>
          <w:rFonts w:hint="eastAsia"/>
        </w:rPr>
      </w:pPr>
      <w:r>
        <w:rPr>
          <w:rFonts w:hint="eastAsia"/>
        </w:rPr>
        <w:t>晚年生活与思想传承</w:t>
      </w:r>
    </w:p>
    <w:p w14:paraId="7B4A8338" w14:textId="77777777" w:rsidR="00D91945" w:rsidRDefault="00D91945">
      <w:pPr>
        <w:rPr>
          <w:rFonts w:hint="eastAsia"/>
        </w:rPr>
      </w:pPr>
      <w:r>
        <w:rPr>
          <w:rFonts w:hint="eastAsia"/>
        </w:rPr>
        <w:t>晚年的司马光虽然远离了权力中心，但依旧心系天下大事。他继续撰写文章、参与讨论，并将自己一生的心得体会传授给弟子们。司马光去世后，《资治通鉴》成为了中国乃至世界历史上最具影响力的史书之一，而他自己也因这部作品以及其他诸多贡献被尊称为“一代名臣”。直到今天，司马光的名字仍然代表着智慧、正直与责任，激励着一代又一代的中国人不断前行。</w:t>
      </w:r>
    </w:p>
    <w:p w14:paraId="2B2AE4B7" w14:textId="77777777" w:rsidR="00D91945" w:rsidRDefault="00D91945">
      <w:pPr>
        <w:rPr>
          <w:rFonts w:hint="eastAsia"/>
        </w:rPr>
      </w:pPr>
    </w:p>
    <w:p w14:paraId="1BEC26D0" w14:textId="77777777" w:rsidR="00D91945" w:rsidRDefault="00D91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B5437" w14:textId="27950BA3" w:rsidR="00ED005B" w:rsidRDefault="00ED005B"/>
    <w:sectPr w:rsidR="00ED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5B"/>
    <w:rsid w:val="009442F6"/>
    <w:rsid w:val="00D91945"/>
    <w:rsid w:val="00E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A98BA-C01B-4BB4-B42F-4BBC03F8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