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像造句的基本原则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在学习造句时，"像"字是一个常见且重要的词汇。它通常用于比较或描述，使句子更加生动和形象。了解如何用"像"造句，可以帮助我们更好地表达相似性或类比的关系。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如何用“像”造简单句子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使用“像”造句时，首先要明确句子中的比较对象。例如，可以用“像”来描述两者的相似之处。以下是几个简单的例子：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这只猫像一只小狮子。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这本书的封面像一幅美丽的画作。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为了让句子更加生动，可以在句子中加入更多的细节或修辞手法。例如，可以用形容词来增强比较效果：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这朵花像色彩斑斓的彩虹。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他的声音像柔和的音乐。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她的舞姿像风中的柳枝，轻盈灵动。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在实际交流中，使用“像”可以帮助我们更清晰地描述事物的特点。无论是在写作还是口头表达中，巧妙地运用“像”能让描述更具表现力。例如：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这部电影的剧情像一场跌宕起伏的冒险。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这台新电脑的速度像闪电一样快。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这位老师的教学风格像一位耐心的引导者。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通过练习用“像”造句，我们可以提升描述能力，让语言更加生动。掌握了基本的造句规则后，不妨尝试在不同的语境中应用，以提高表达的丰富性和准确性。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4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